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6F39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/>
          <w:b/>
          <w:i w:val="0"/>
          <w:sz w:val="36"/>
          <w:u w:val="none"/>
        </w:rPr>
        <w:t>Basin-Size Scaling in Finite-Range and Frustrated Kuramoto Rings</w:t>
      </w: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/>
          <w:b w:val="0"/>
          <w:i w:val="0"/>
          <w:sz w:val="24"/>
          <w:u w:val="single"/>
        </w:rPr>
        <w:t>Xiao Xie</w:t>
      </w:r>
      <w:r>
        <w:rPr>
          <w:rFonts w:ascii="Times New Roman" w:hAnsi="Times New Roman" w:eastAsia="Times New Roman"/>
          <w:b w:val="0"/>
          <w:i w:val="0"/>
          <w:sz w:val="20"/>
          <w:u w:val="none"/>
          <w:vertAlign w:val="superscript"/>
        </w:rPr>
        <w:t>1</w:t>
      </w:r>
    </w:p>
    <w:p w14:paraId="25EC2EA6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/>
          <w:b w:val="0"/>
          <w:i w:val="0"/>
          <w:sz w:val="22"/>
          <w:u w:val="none"/>
          <w:vertAlign w:val="superscript"/>
        </w:rPr>
        <w:t>1</w:t>
      </w:r>
      <w:r>
        <w:rPr>
          <w:rFonts w:ascii="Times New Roman" w:hAnsi="Times New Roman" w:eastAsia="Times New Roman"/>
          <w:b w:val="0"/>
          <w:i w:val="0"/>
          <w:sz w:val="22"/>
          <w:u w:val="none"/>
        </w:rPr>
        <w:t xml:space="preserve"> Sun Yat-sen University, School of Physics and Astronomy, Zhuhai, China</w:t>
      </w:r>
    </w:p>
    <w:p w14:paraId="00000006">
      <w:pPr>
        <w:spacing w:before="0" w:after="320" w:line="240" w:lineRule="auto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lang w:val="en-US" w:eastAsia="zh-C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e-mail: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n-US" w:eastAsia="zh-CN"/>
        </w:rPr>
        <w:t>xiexiao2001@gmail.com</w:t>
      </w:r>
    </w:p>
    <w:p w14:paraId="0000000D">
      <w:pPr>
        <w:keepNext w:val="0"/>
        <w:keepLines w:val="0"/>
        <w:widowControl/>
        <w:suppressLineNumbers w:val="0"/>
        <w:spacing w:before="0" w:after="28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Abstract: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Locally coupled Kuramoto rings provide a simple setting for probing high-dimensional basin geometry and multistability [1,2]. For nearest-neighbor coupling, stable twisted states are labeled by winding number, and their basin sizes follow an approximately Gaussian distribution [1,3]. This behavior was recently explained by a separation between rapid winding-number stabilization and slower correlation growth [3]. This work examines how this mechanism changes under finite-range coupling and frustration. Simulations show that increasing the coupling range preserves a Gaussian-like distribution for moderate fixed ranges but narrows it, suggesting greater effective stiffness. For sufficiently large ranges, the distribution collapses toward the zero-winding state, consistent with a c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rossover to a mean-field-like regime where local independence is lost. Signed coupling has the opposite effect: weak negative coupling remains close to Gaussian scaling, whereas stronger frustration produces fat tails, slow glassy stabilization, and concentration near highly twisted states. Analytically, the nearest-neighbor argument is reformulated in continuous time. Inside the forward-invariant phase-difference region, the dynamics is a weighted diffusion. A comparison estimate for circular distances between two solutions replaces the Euler finite-propagation step and gives a locality bound with Poisson-tail decay. Thus, over the relevant logarithmic time window, the phase difference at one site is determined, up to small error, by a logarithmic-size neighborhood. This supports the weak-de</w:t>
      </w:r>
      <w:bookmarkStart w:id="0" w:name="_GoBack"/>
      <w:bookmarkEnd w:id="0"/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pendence and central-limit mechanism behind Gaussian basin-size scaling. For coupling ranges beyond nearest neighbors, single-coordinate trapping fails, so fixed-range extensions should rely on forward invariance, locking-time estimates, and energy decay. Overall, locality and frustration act as competing mechanisms controlling the persistence and breakdown of Gaussian basin-size scaling.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Keywords: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Kuramoto model, synchronization, multistability, basin of attraction, nonlinear dynamics, complex systems</w:t>
      </w:r>
    </w:p>
    <w:p w14:paraId="4FBC1DB7">
      <w:pPr>
        <w:spacing w:before="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Acknowledgement: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z w:val="24"/>
          <w:szCs w:val="24"/>
          <w:u w:val="none"/>
        </w:rPr>
        <w:t>I thank Prof. Yuanzhao Zhang for helpful discussions and suggestions on the fixed-R extension of the Kuramoto-ring problem.</w:t>
      </w:r>
    </w:p>
    <w:p>
      <w:pPr>
        <w:spacing w:before="0" w:after="60" w:line="240" w:lineRule="auto"/>
        <w:jc w:val="both"/>
      </w:pPr>
      <w:r>
        <w:rPr>
          <w:rFonts w:ascii="Times New Roman" w:hAnsi="Times New Roman" w:eastAsia="Times New Roman"/>
          <w:b/>
          <w:i w:val="0"/>
          <w:sz w:val="24"/>
          <w:u w:val="none"/>
        </w:rPr>
        <w:t>References</w:t>
      </w:r>
    </w:p>
    <w:p>
      <w:pPr>
        <w:spacing w:before="0" w:after="0" w:line="240" w:lineRule="auto"/>
        <w:ind w:left="360" w:hanging="360"/>
        <w:jc w:val="both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[1] D. A. Wiley, S. H. Strogatz, and M. Girvan, Chaos, 16, 015103 (2006).</w:t>
      </w:r>
    </w:p>
    <w:p>
      <w:pPr>
        <w:spacing w:before="0" w:after="0" w:line="240" w:lineRule="auto"/>
        <w:ind w:left="360" w:hanging="360"/>
        <w:jc w:val="both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[2] Y. Zhang and S. H. Strogatz, Physical Review Letters, 127, 194101 (2021).</w:t>
      </w:r>
    </w:p>
    <w:p>
      <w:pPr>
        <w:spacing w:before="0" w:after="0" w:line="240" w:lineRule="auto"/>
        <w:ind w:left="360" w:hanging="360"/>
        <w:jc w:val="both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[3] P. Groisman, C. De Vita, J. Fernández Bonder, and Y. Zhang, Physical Review E, 112, L052201 (2025).</w:t>
      </w:r>
    </w:p>
    <w:sectPr>
      <w:headerReference r:id="rId3" w:type="first"/>
      <w:footerReference r:id="rId4" w:type="first"/>
      <w:pgSz w:w="12240" w:h="15840"/>
      <w:pgMar w:top="936" w:right="1224" w:bottom="792" w:left="1224" w:header="454" w:footer="454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Palatino">
    <w:altName w:val="Book Antiqu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7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 w14:paraId="00000018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both"/>
      <w:rPr>
        <w:rFonts w:ascii="Palatino" w:hAnsi="Palatino" w:eastAsia="Palatino" w:cs="Palatin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  <w:tab w:val="right" w:pos="9498"/>
      </w:tabs>
      <w:spacing w:before="0" w:after="0" w:line="240" w:lineRule="auto"/>
      <w:ind w:left="0" w:right="0" w:firstLine="0"/>
      <w:jc w:val="both"/>
      <w:rPr>
        <w:rFonts w:ascii="Palatino" w:hAnsi="Palatino" w:eastAsia="Palatino" w:cs="Palatin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International Conference on Nonlinear Science and Complexity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(</w:t>
    </w: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NSC2026)                                July 14-17, 2026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17616"/>
    <w:multiLevelType w:val="singleLevel"/>
    <w:tmpl w:val="F0817616"/>
    <w:lvl w:ilvl="0" w:tentative="0">
      <w:start w:val="1"/>
      <w:numFmt w:val="decimal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37A87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bCs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b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bCs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bCs/>
      <w:sz w:val="20"/>
      <w:szCs w:val="2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bCs/>
      <w:sz w:val="72"/>
      <w:szCs w:val="72"/>
    </w:rPr>
  </w:style>
  <w:style w:type="table" w:customStyle="1" w:styleId="13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213</Words>
  <Characters>1176</Characters>
  <TotalTime>3</TotalTime>
  <ScaleCrop>false</ScaleCrop>
  <LinksUpToDate>false</LinksUpToDate>
  <CharactersWithSpaces>1392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2026-06-08T16:44:58Z</dcterms:created>
  <dc:creator>16511</dc:creator>
  <cp:lastModifiedBy>肥呆</cp:lastModifiedBy>
  <dcterms:modified xsi:type="dcterms:W3CDTF">2026-06-08T17:19:44Z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eyJoZGlkIjoiNzk1MTllMzRlMGM3ZTU0NGQ1ODhkMTI4ZDQ2MmRlNTEiLCJ1c2VySWQiOiI0NzcxODQ3NjcifQ==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EC8F3F282E7A4CF8A7C7397AC5B32F1C_12</vt:lpwstr>
  </property>
</Properties>
</file>