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11E" w:rsidRDefault="00114B0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36"/>
          <w:szCs w:val="36"/>
        </w:rPr>
      </w:pPr>
      <w:r w:rsidRPr="00114B06">
        <w:rPr>
          <w:b/>
          <w:bCs/>
          <w:color w:val="000000"/>
          <w:sz w:val="36"/>
          <w:szCs w:val="36"/>
        </w:rPr>
        <w:t>On the Dynamical Regimes of the Caputo Fractional Difference Logistic Map of Nilpotent Matrices</w:t>
      </w:r>
      <w:r w:rsidR="008970BE">
        <w:rPr>
          <w:b/>
          <w:bCs/>
          <w:color w:val="000000"/>
          <w:sz w:val="36"/>
          <w:szCs w:val="36"/>
        </w:rPr>
        <w:t xml:space="preserve">                  </w:t>
      </w:r>
    </w:p>
    <w:p w:rsidR="00A8711E" w:rsidRDefault="00A8711E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:rsidR="00A8711E" w:rsidRDefault="0089446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Rasa Smidtaite</w:t>
      </w:r>
      <w:r w:rsidR="008970BE">
        <w:rPr>
          <w:b/>
          <w:bCs/>
          <w:color w:val="000000"/>
          <w:sz w:val="24"/>
          <w:szCs w:val="24"/>
          <w:vertAlign w:val="superscript"/>
        </w:rPr>
        <w:t>1</w:t>
      </w:r>
      <w:r w:rsidR="008970BE">
        <w:rPr>
          <w:b/>
          <w:bCs/>
          <w:color w:val="000000"/>
          <w:sz w:val="24"/>
          <w:szCs w:val="24"/>
        </w:rPr>
        <w:t xml:space="preserve">, </w:t>
      </w:r>
      <w:r w:rsidR="00EE648C" w:rsidRPr="00EE648C">
        <w:rPr>
          <w:b/>
          <w:bCs/>
          <w:color w:val="000000"/>
          <w:sz w:val="24"/>
          <w:szCs w:val="24"/>
          <w:u w:val="single"/>
        </w:rPr>
        <w:t>Algirdas Kazlauskas</w:t>
      </w:r>
      <w:r w:rsidR="00EE648C">
        <w:rPr>
          <w:b/>
          <w:bCs/>
          <w:color w:val="000000"/>
          <w:sz w:val="24"/>
          <w:szCs w:val="24"/>
          <w:vertAlign w:val="superscript"/>
        </w:rPr>
        <w:t>1</w:t>
      </w:r>
      <w:r w:rsidR="00EE648C">
        <w:rPr>
          <w:b/>
          <w:bCs/>
          <w:color w:val="000000"/>
          <w:sz w:val="24"/>
          <w:szCs w:val="24"/>
        </w:rPr>
        <w:t>, M</w:t>
      </w:r>
      <w:r>
        <w:rPr>
          <w:b/>
          <w:bCs/>
          <w:color w:val="000000"/>
          <w:sz w:val="24"/>
          <w:szCs w:val="24"/>
        </w:rPr>
        <w:t>ark Edelman</w:t>
      </w:r>
      <w:r w:rsidR="00EE648C">
        <w:rPr>
          <w:b/>
          <w:bCs/>
          <w:color w:val="000000"/>
          <w:sz w:val="24"/>
          <w:szCs w:val="24"/>
          <w:vertAlign w:val="superscript"/>
        </w:rPr>
        <w:t>2</w:t>
      </w:r>
      <w:r w:rsidR="008970BE">
        <w:rPr>
          <w:b/>
          <w:bCs/>
          <w:color w:val="000000"/>
          <w:sz w:val="24"/>
          <w:szCs w:val="24"/>
          <w:vertAlign w:val="superscript"/>
        </w:rPr>
        <w:t>,</w:t>
      </w:r>
      <w:r w:rsidR="00EE648C">
        <w:rPr>
          <w:b/>
          <w:bCs/>
          <w:color w:val="000000"/>
          <w:sz w:val="24"/>
          <w:szCs w:val="24"/>
          <w:vertAlign w:val="superscript"/>
        </w:rPr>
        <w:t>3</w:t>
      </w:r>
      <w:r w:rsidR="00EE648C">
        <w:rPr>
          <w:b/>
          <w:bCs/>
          <w:color w:val="000000"/>
          <w:sz w:val="24"/>
          <w:szCs w:val="24"/>
        </w:rPr>
        <w:t>, Minvydas Ragulskis</w:t>
      </w:r>
      <w:r w:rsidR="00EE648C">
        <w:rPr>
          <w:b/>
          <w:bCs/>
          <w:color w:val="000000"/>
          <w:sz w:val="24"/>
          <w:szCs w:val="24"/>
          <w:vertAlign w:val="superscript"/>
        </w:rPr>
        <w:t>1,*</w:t>
      </w:r>
    </w:p>
    <w:p w:rsidR="00A8711E" w:rsidRDefault="008970BE" w:rsidP="00CD1E1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  <w:vertAlign w:val="superscript"/>
        </w:rPr>
        <w:t>1</w:t>
      </w:r>
      <w:r w:rsidR="00CD1E13" w:rsidRPr="00CD1E13">
        <w:t xml:space="preserve"> </w:t>
      </w:r>
      <w:r w:rsidR="00CD1E13" w:rsidRPr="00CD1E13">
        <w:rPr>
          <w:color w:val="000000"/>
          <w:sz w:val="22"/>
          <w:szCs w:val="22"/>
        </w:rPr>
        <w:t>Research Group for Nonlinear Systems, Kaunas University of Technology, Kaunas,</w:t>
      </w:r>
      <w:r w:rsidR="00CD1E13">
        <w:rPr>
          <w:color w:val="000000"/>
          <w:sz w:val="22"/>
          <w:szCs w:val="22"/>
        </w:rPr>
        <w:t xml:space="preserve"> </w:t>
      </w:r>
      <w:r w:rsidR="00CD1E13" w:rsidRPr="00CD1E13">
        <w:rPr>
          <w:color w:val="000000"/>
          <w:sz w:val="22"/>
          <w:szCs w:val="22"/>
        </w:rPr>
        <w:t>Lithuania</w:t>
      </w:r>
    </w:p>
    <w:p w:rsidR="00A8711E" w:rsidRDefault="008970BE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  <w:vertAlign w:val="superscript"/>
        </w:rPr>
        <w:t>2</w:t>
      </w:r>
      <w:r w:rsidR="00CD1E13" w:rsidRPr="00CD1E13">
        <w:rPr>
          <w:color w:val="000000"/>
          <w:sz w:val="22"/>
          <w:szCs w:val="22"/>
        </w:rPr>
        <w:t>Stern College for Women, Yeshiva University, New York, USA</w:t>
      </w:r>
    </w:p>
    <w:p w:rsidR="001C5CD8" w:rsidRDefault="001C5CD8" w:rsidP="001C5CD8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2"/>
          <w:szCs w:val="22"/>
          <w:vertAlign w:val="superscript"/>
        </w:rPr>
      </w:pPr>
      <w:r>
        <w:rPr>
          <w:color w:val="000000"/>
          <w:sz w:val="22"/>
          <w:szCs w:val="22"/>
          <w:vertAlign w:val="superscript"/>
        </w:rPr>
        <w:t>3</w:t>
      </w:r>
      <w:r w:rsidRPr="001C5CD8">
        <w:rPr>
          <w:color w:val="000000"/>
          <w:sz w:val="22"/>
          <w:szCs w:val="22"/>
        </w:rPr>
        <w:t>Courant Institute of Mathematical Sciences, New York University, New York, US</w:t>
      </w:r>
      <w:r>
        <w:rPr>
          <w:color w:val="000000"/>
          <w:sz w:val="22"/>
          <w:szCs w:val="22"/>
        </w:rPr>
        <w:t>A</w:t>
      </w:r>
    </w:p>
    <w:p w:rsidR="00A8711E" w:rsidRDefault="001C5CD8" w:rsidP="001C5CD8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  <w:vertAlign w:val="superscript"/>
        </w:rPr>
        <w:t>*</w:t>
      </w:r>
      <w:r>
        <w:rPr>
          <w:color w:val="000000"/>
          <w:sz w:val="22"/>
          <w:szCs w:val="22"/>
        </w:rPr>
        <w:t>C</w:t>
      </w:r>
      <w:r w:rsidR="00CD1E13" w:rsidRPr="00CD1E13">
        <w:rPr>
          <w:color w:val="000000"/>
          <w:sz w:val="22"/>
          <w:szCs w:val="22"/>
        </w:rPr>
        <w:t>orrespondence: minvydas.ragulskis@ktu.lt</w:t>
      </w:r>
    </w:p>
    <w:p w:rsidR="00A8711E" w:rsidRDefault="00A8711E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A8711E" w:rsidRDefault="008970BE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Abstract: </w:t>
      </w:r>
      <w:r w:rsidR="00114B06" w:rsidRPr="00114B06">
        <w:rPr>
          <w:color w:val="000000"/>
          <w:sz w:val="24"/>
          <w:szCs w:val="24"/>
        </w:rPr>
        <w:t xml:space="preserve">This paper investigates the convergence and divergence rates of the Caputo fractional difference logistic map of </w:t>
      </w:r>
      <m:oMath>
        <m:r>
          <w:rPr>
            <w:rFonts w:ascii="Cambria Math" w:hAnsi="Cambria Math"/>
            <w:color w:val="000000"/>
            <w:sz w:val="24"/>
            <w:szCs w:val="24"/>
          </w:rPr>
          <m:t>n</m:t>
        </m:r>
      </m:oMath>
      <w:r w:rsidR="00114B06" w:rsidRPr="00114B06">
        <w:rPr>
          <w:color w:val="000000"/>
          <w:sz w:val="24"/>
          <w:szCs w:val="24"/>
        </w:rPr>
        <w:t xml:space="preserve">-th order nilpotent matrices. The dynamics of this discrete system are split into a single scalar fractional difference map of a recurrent eigenvalue </w:t>
      </w:r>
      <m:oMath>
        <m:sSubSup>
          <m:sSubSup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color w:val="000000"/>
                <w:sz w:val="24"/>
                <w:szCs w:val="24"/>
              </w:rPr>
              <m:t>λ</m:t>
            </m:r>
          </m:e>
          <m:sub>
            <m:r>
              <w:rPr>
                <w:rFonts w:ascii="Cambria Math" w:hAnsi="Cambria Math"/>
                <w:color w:val="000000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/>
                <w:color w:val="000000"/>
                <w:sz w:val="24"/>
                <w:szCs w:val="24"/>
              </w:rPr>
              <m:t>(k)</m:t>
            </m:r>
          </m:sup>
        </m:sSubSup>
      </m:oMath>
      <w:r w:rsidR="00114B06" w:rsidRPr="00114B06">
        <w:rPr>
          <w:color w:val="000000"/>
          <w:sz w:val="24"/>
          <w:szCs w:val="24"/>
        </w:rPr>
        <w:t xml:space="preserve"> and </w:t>
      </w:r>
      <m:oMath>
        <m:r>
          <w:rPr>
            <w:rFonts w:ascii="Cambria Math" w:hAnsi="Cambria Math"/>
            <w:color w:val="000000"/>
            <w:sz w:val="24"/>
            <w:szCs w:val="24"/>
          </w:rPr>
          <m:t>n-1</m:t>
        </m:r>
      </m:oMath>
      <w:r w:rsidR="00114B06" w:rsidRPr="00114B06">
        <w:rPr>
          <w:color w:val="000000"/>
          <w:sz w:val="24"/>
          <w:szCs w:val="24"/>
        </w:rPr>
        <w:t xml:space="preserve"> intertwined scalar maps of auxiliary parameters </w:t>
      </w:r>
      <m:oMath>
        <m:sSubSup>
          <m:sSubSup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color w:val="000000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/>
                <w:color w:val="000000"/>
                <w:sz w:val="24"/>
                <w:szCs w:val="24"/>
              </w:rPr>
              <m:t>s</m:t>
            </m:r>
          </m:sub>
          <m:sup>
            <m:r>
              <w:rPr>
                <w:rFonts w:ascii="Cambria Math" w:hAnsi="Cambria Math"/>
                <w:color w:val="000000"/>
                <w:sz w:val="24"/>
                <w:szCs w:val="24"/>
              </w:rPr>
              <m:t>(k)</m:t>
            </m:r>
          </m:sup>
        </m:sSubSup>
      </m:oMath>
      <w:r w:rsidR="00114B06" w:rsidRPr="00114B06">
        <w:rPr>
          <w:color w:val="000000"/>
          <w:sz w:val="24"/>
          <w:szCs w:val="24"/>
        </w:rPr>
        <w:t>Analytical and computational results demonstrate that while the recurrent eigenvalue exhibits power-law convergence to a stable fixed point, the auxiliary parameters display exponential divergence when the system is chaotic and exponential convergence during stable regimes. This exponential behavior effectively suppresses the power-law convergence effects typically observed in scalar fractional maps. Furthermore, special phenomena such as finite-time divergence and intermittent bursting are analyzed across different parameter values. This analysis provides a comprehensive overview of the competitive interplay between distinct dynamical regimes in fractional maps of nilpotent matrices.</w:t>
      </w:r>
    </w:p>
    <w:p w:rsidR="00A8711E" w:rsidRDefault="00A8711E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A8711E" w:rsidRDefault="008970BE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Keywords:</w:t>
      </w:r>
      <w:r>
        <w:rPr>
          <w:color w:val="000000"/>
          <w:sz w:val="24"/>
          <w:szCs w:val="24"/>
        </w:rPr>
        <w:t xml:space="preserve"> </w:t>
      </w:r>
      <w:r w:rsidR="000A1B0D" w:rsidRPr="000A1B0D">
        <w:rPr>
          <w:color w:val="000000"/>
          <w:sz w:val="24"/>
          <w:szCs w:val="24"/>
        </w:rPr>
        <w:t>fractional difference logistic map, nilpotent matrix, convergence rate, Lyapunov exponent</w:t>
      </w:r>
      <w:r>
        <w:rPr>
          <w:color w:val="000000"/>
          <w:sz w:val="24"/>
          <w:szCs w:val="24"/>
        </w:rPr>
        <w:t>.</w:t>
      </w:r>
    </w:p>
    <w:p w:rsidR="00A8711E" w:rsidRDefault="00A8711E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9450D2" w:rsidRDefault="009450D2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0A1B0D" w:rsidRPr="000A1B0D" w:rsidRDefault="008970BE" w:rsidP="000A1B0D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Acknowledgement:</w:t>
      </w:r>
      <w:r>
        <w:rPr>
          <w:i/>
          <w:iCs/>
          <w:color w:val="000000"/>
          <w:sz w:val="24"/>
          <w:szCs w:val="24"/>
        </w:rPr>
        <w:t xml:space="preserve"> </w:t>
      </w:r>
      <w:r w:rsidR="000A1B0D" w:rsidRPr="000A1B0D">
        <w:rPr>
          <w:i/>
          <w:iCs/>
          <w:color w:val="000000"/>
          <w:sz w:val="24"/>
          <w:szCs w:val="24"/>
        </w:rPr>
        <w:t>This research is funded by the Research Council of Lithuania (LMTLT), Project No.</w:t>
      </w:r>
      <w:r w:rsidR="000A1B0D">
        <w:rPr>
          <w:i/>
          <w:iCs/>
          <w:color w:val="000000"/>
          <w:sz w:val="24"/>
          <w:szCs w:val="24"/>
        </w:rPr>
        <w:t xml:space="preserve"> </w:t>
      </w:r>
      <w:r w:rsidR="000A1B0D" w:rsidRPr="000A1B0D">
        <w:rPr>
          <w:i/>
          <w:iCs/>
          <w:color w:val="000000"/>
          <w:sz w:val="24"/>
          <w:szCs w:val="24"/>
        </w:rPr>
        <w:t>S-MIP-25-52 (Finite-time divergence in differential equations of nilpotent matrices—theory and</w:t>
      </w:r>
    </w:p>
    <w:p w:rsidR="00A8711E" w:rsidRDefault="000A1B0D" w:rsidP="000A1B0D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0A1B0D">
        <w:rPr>
          <w:i/>
          <w:iCs/>
          <w:color w:val="000000"/>
          <w:sz w:val="24"/>
          <w:szCs w:val="24"/>
        </w:rPr>
        <w:t>applications (DENM)).</w:t>
      </w:r>
    </w:p>
    <w:p w:rsidR="00A8711E" w:rsidRDefault="009450D2" w:rsidP="009450D2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284"/>
        <w:jc w:val="both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br/>
      </w:r>
      <w:r>
        <w:rPr>
          <w:b/>
          <w:bCs/>
          <w:color w:val="000000"/>
          <w:sz w:val="24"/>
          <w:szCs w:val="24"/>
        </w:rPr>
        <w:lastRenderedPageBreak/>
        <w:br/>
      </w:r>
      <w:r w:rsidR="008970BE">
        <w:rPr>
          <w:b/>
          <w:bCs/>
          <w:color w:val="000000"/>
          <w:sz w:val="24"/>
          <w:szCs w:val="24"/>
        </w:rPr>
        <w:t>References</w:t>
      </w:r>
    </w:p>
    <w:p w:rsidR="00F727DC" w:rsidRDefault="00F727DC" w:rsidP="00F727D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[1] </w:t>
      </w:r>
      <w:r w:rsidRPr="006F24C2">
        <w:rPr>
          <w:color w:val="000000"/>
          <w:sz w:val="24"/>
          <w:szCs w:val="24"/>
        </w:rPr>
        <w:t xml:space="preserve">Navickas, Z.; Smidtaite, R.; Vainoras, A.; Ragulskis, M. The logistic map of matrices. </w:t>
      </w:r>
      <w:r w:rsidRPr="006F24C2">
        <w:rPr>
          <w:i/>
          <w:color w:val="000000"/>
          <w:sz w:val="24"/>
          <w:szCs w:val="24"/>
        </w:rPr>
        <w:t>Discret. Contin. Dyn. Syst. Ser. B</w:t>
      </w:r>
      <w:r w:rsidRPr="006F24C2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</w:t>
      </w:r>
      <w:r w:rsidRPr="006F24C2">
        <w:rPr>
          <w:color w:val="000000"/>
          <w:sz w:val="24"/>
          <w:szCs w:val="24"/>
        </w:rPr>
        <w:t>16, 927–944</w:t>
      </w:r>
      <w:r>
        <w:rPr>
          <w:color w:val="000000"/>
          <w:sz w:val="24"/>
          <w:szCs w:val="24"/>
        </w:rPr>
        <w:t xml:space="preserve"> (</w:t>
      </w:r>
      <w:r w:rsidRPr="006F24C2">
        <w:rPr>
          <w:color w:val="000000"/>
          <w:sz w:val="24"/>
          <w:szCs w:val="24"/>
        </w:rPr>
        <w:t>2011</w:t>
      </w:r>
      <w:r>
        <w:rPr>
          <w:color w:val="000000"/>
          <w:sz w:val="24"/>
          <w:szCs w:val="24"/>
        </w:rPr>
        <w:t>)</w:t>
      </w:r>
      <w:r w:rsidRPr="006F24C2">
        <w:rPr>
          <w:color w:val="000000"/>
          <w:sz w:val="24"/>
          <w:szCs w:val="24"/>
        </w:rPr>
        <w:t>.</w:t>
      </w:r>
    </w:p>
    <w:p w:rsidR="00F727DC" w:rsidRDefault="00F727DC" w:rsidP="00F727D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[2] </w:t>
      </w:r>
      <w:r w:rsidRPr="006F24C2">
        <w:rPr>
          <w:color w:val="000000"/>
          <w:sz w:val="24"/>
          <w:szCs w:val="24"/>
        </w:rPr>
        <w:t>Edelman, M. Evolution of Systems with Power-Law Memory: Do We Have to Die? (Dedicated to the Memory of Valentin</w:t>
      </w:r>
      <w:r>
        <w:rPr>
          <w:color w:val="000000"/>
          <w:sz w:val="24"/>
          <w:szCs w:val="24"/>
        </w:rPr>
        <w:t xml:space="preserve"> </w:t>
      </w:r>
      <w:r w:rsidRPr="006F24C2">
        <w:rPr>
          <w:color w:val="000000"/>
          <w:sz w:val="24"/>
          <w:szCs w:val="24"/>
        </w:rPr>
        <w:t xml:space="preserve">Afraimovich). In </w:t>
      </w:r>
      <w:r w:rsidRPr="006F24C2">
        <w:rPr>
          <w:i/>
          <w:color w:val="000000"/>
          <w:sz w:val="24"/>
          <w:szCs w:val="24"/>
        </w:rPr>
        <w:t>Demography of Population Health, Aging and Health Expenditures</w:t>
      </w:r>
      <w:r w:rsidRPr="006F24C2">
        <w:rPr>
          <w:color w:val="000000"/>
          <w:sz w:val="24"/>
          <w:szCs w:val="24"/>
        </w:rPr>
        <w:t>; Skiadas, C.H., Skiadas, C., Eds.; Springer</w:t>
      </w:r>
      <w:r>
        <w:rPr>
          <w:color w:val="000000"/>
          <w:sz w:val="24"/>
          <w:szCs w:val="24"/>
        </w:rPr>
        <w:t xml:space="preserve"> </w:t>
      </w:r>
      <w:r w:rsidRPr="006F24C2">
        <w:rPr>
          <w:color w:val="000000"/>
          <w:sz w:val="24"/>
          <w:szCs w:val="24"/>
        </w:rPr>
        <w:t>Internationa</w:t>
      </w:r>
      <w:r>
        <w:rPr>
          <w:color w:val="000000"/>
          <w:sz w:val="24"/>
          <w:szCs w:val="24"/>
        </w:rPr>
        <w:t>l Publishing: Cham, Switzerland</w:t>
      </w:r>
      <w:r w:rsidRPr="006F24C2">
        <w:rPr>
          <w:color w:val="000000"/>
          <w:sz w:val="24"/>
          <w:szCs w:val="24"/>
        </w:rPr>
        <w:t>; pp. 65–85</w:t>
      </w:r>
      <w:r>
        <w:rPr>
          <w:color w:val="000000"/>
          <w:sz w:val="24"/>
          <w:szCs w:val="24"/>
        </w:rPr>
        <w:t xml:space="preserve"> (</w:t>
      </w:r>
      <w:r w:rsidRPr="006F24C2">
        <w:rPr>
          <w:color w:val="000000"/>
          <w:sz w:val="24"/>
          <w:szCs w:val="24"/>
        </w:rPr>
        <w:t>2020</w:t>
      </w:r>
      <w:r>
        <w:rPr>
          <w:color w:val="000000"/>
          <w:sz w:val="24"/>
          <w:szCs w:val="24"/>
        </w:rPr>
        <w:t>)</w:t>
      </w:r>
      <w:r w:rsidRPr="006F24C2">
        <w:rPr>
          <w:color w:val="000000"/>
          <w:sz w:val="24"/>
          <w:szCs w:val="24"/>
        </w:rPr>
        <w:t>.</w:t>
      </w:r>
    </w:p>
    <w:p w:rsidR="00A903C8" w:rsidRDefault="006259FC" w:rsidP="006259F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[</w:t>
      </w:r>
      <w:r w:rsidR="00F727DC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] </w:t>
      </w:r>
      <w:r w:rsidRPr="006259FC">
        <w:rPr>
          <w:color w:val="000000"/>
          <w:sz w:val="24"/>
          <w:szCs w:val="24"/>
        </w:rPr>
        <w:t xml:space="preserve">Smidtaite, R.; Navickas, Z.; Ragulskis, M. Clocking divergence of iterative maps of matrices. </w:t>
      </w:r>
      <w:r w:rsidRPr="006259FC">
        <w:rPr>
          <w:i/>
          <w:color w:val="000000"/>
          <w:sz w:val="24"/>
          <w:szCs w:val="24"/>
        </w:rPr>
        <w:t>Commun. Nonlinear Sci. Numer. Simul.</w:t>
      </w:r>
      <w:r w:rsidRPr="006259FC">
        <w:rPr>
          <w:color w:val="000000"/>
          <w:sz w:val="24"/>
          <w:szCs w:val="24"/>
        </w:rPr>
        <w:t>, 95, 105589</w:t>
      </w:r>
      <w:r>
        <w:rPr>
          <w:color w:val="000000"/>
          <w:sz w:val="24"/>
          <w:szCs w:val="24"/>
        </w:rPr>
        <w:t xml:space="preserve"> (</w:t>
      </w:r>
      <w:r w:rsidRPr="006259FC">
        <w:rPr>
          <w:color w:val="000000"/>
          <w:sz w:val="24"/>
          <w:szCs w:val="24"/>
        </w:rPr>
        <w:t>2021</w:t>
      </w:r>
      <w:r>
        <w:rPr>
          <w:color w:val="000000"/>
          <w:sz w:val="24"/>
          <w:szCs w:val="24"/>
        </w:rPr>
        <w:t>)</w:t>
      </w:r>
      <w:r w:rsidRPr="006259FC">
        <w:rPr>
          <w:color w:val="000000"/>
          <w:sz w:val="24"/>
          <w:szCs w:val="24"/>
        </w:rPr>
        <w:t>.</w:t>
      </w:r>
    </w:p>
    <w:p w:rsidR="006259FC" w:rsidRDefault="00F727DC" w:rsidP="00F727D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[4] </w:t>
      </w:r>
      <w:r w:rsidRPr="00F727DC">
        <w:rPr>
          <w:color w:val="000000"/>
          <w:sz w:val="24"/>
          <w:szCs w:val="24"/>
        </w:rPr>
        <w:t>Petkevi</w:t>
      </w:r>
      <w:r>
        <w:rPr>
          <w:color w:val="000000"/>
          <w:sz w:val="24"/>
          <w:szCs w:val="24"/>
          <w:lang w:val="lt-LT"/>
        </w:rPr>
        <w:t>č</w:t>
      </w:r>
      <w:r w:rsidRPr="00F727DC">
        <w:rPr>
          <w:color w:val="000000"/>
          <w:sz w:val="24"/>
          <w:szCs w:val="24"/>
        </w:rPr>
        <w:t>iut</w:t>
      </w:r>
      <w:r>
        <w:rPr>
          <w:color w:val="000000"/>
          <w:sz w:val="24"/>
          <w:szCs w:val="24"/>
        </w:rPr>
        <w:t>ė</w:t>
      </w:r>
      <w:r w:rsidRPr="00F727DC">
        <w:rPr>
          <w:color w:val="000000"/>
          <w:sz w:val="24"/>
          <w:szCs w:val="24"/>
        </w:rPr>
        <w:t>-Gerlach, D.; Šmidtait</w:t>
      </w:r>
      <w:r>
        <w:rPr>
          <w:color w:val="000000"/>
          <w:sz w:val="24"/>
          <w:szCs w:val="24"/>
        </w:rPr>
        <w:t>ė</w:t>
      </w:r>
      <w:r w:rsidRPr="00F727DC">
        <w:rPr>
          <w:color w:val="000000"/>
          <w:sz w:val="24"/>
          <w:szCs w:val="24"/>
        </w:rPr>
        <w:t>, R.; Ragulskis, M. Intermittent Bursting in the Fractional Difference Logistic Map of Matrices.</w:t>
      </w:r>
      <w:r>
        <w:rPr>
          <w:color w:val="000000"/>
          <w:sz w:val="24"/>
          <w:szCs w:val="24"/>
        </w:rPr>
        <w:t xml:space="preserve"> </w:t>
      </w:r>
      <w:r w:rsidRPr="00F727DC">
        <w:rPr>
          <w:i/>
          <w:color w:val="000000"/>
          <w:sz w:val="24"/>
          <w:szCs w:val="24"/>
        </w:rPr>
        <w:t>Int. J. Bifurc. Chao</w:t>
      </w:r>
      <w:r>
        <w:rPr>
          <w:color w:val="000000"/>
          <w:sz w:val="24"/>
          <w:szCs w:val="24"/>
        </w:rPr>
        <w:t>, 32, 2230002 (</w:t>
      </w:r>
      <w:r w:rsidRPr="00F727DC">
        <w:rPr>
          <w:color w:val="000000"/>
          <w:sz w:val="24"/>
          <w:szCs w:val="24"/>
        </w:rPr>
        <w:t>2022</w:t>
      </w:r>
      <w:r>
        <w:rPr>
          <w:color w:val="000000"/>
          <w:sz w:val="24"/>
          <w:szCs w:val="24"/>
        </w:rPr>
        <w:t>).</w:t>
      </w:r>
    </w:p>
    <w:sectPr w:rsidR="006259FC" w:rsidSect="00A8711E">
      <w:footerReference w:type="default" r:id="rId8"/>
      <w:headerReference w:type="first" r:id="rId9"/>
      <w:footerReference w:type="first" r:id="rId10"/>
      <w:pgSz w:w="12240" w:h="15840"/>
      <w:pgMar w:top="1440" w:right="1080" w:bottom="1440" w:left="1080" w:header="454" w:footer="454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70BE" w:rsidRDefault="008970BE" w:rsidP="00A8711E">
      <w:r>
        <w:separator/>
      </w:r>
    </w:p>
  </w:endnote>
  <w:endnote w:type="continuationSeparator" w:id="0">
    <w:p w:rsidR="008970BE" w:rsidRDefault="008970BE" w:rsidP="00A871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F6B4CE59-0BE5-4FFA-AFD2-7291E6D4C30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A4147A36-A1B3-4371-8821-8D93CE558739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3" w:fontKey="{C4F71D5C-A2BB-4ED3-9068-6B81AA27A00B}"/>
  </w:font>
  <w:font w:name="Palatino">
    <w:altName w:val="Book Antiqua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CAA5D1F-69D9-445A-87DD-3065EDFE48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2B9555C-4084-4DDF-B66C-886BC1EDE0C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0D2" w:rsidRPr="009450D2" w:rsidRDefault="009450D2" w:rsidP="009450D2">
    <w:pPr>
      <w:pStyle w:val="Footer"/>
      <w:jc w:val="center"/>
      <w:rPr>
        <w:lang w:val="lt-LT"/>
      </w:rPr>
    </w:pPr>
    <w:r>
      <w:rPr>
        <w:lang w:val="lt-LT"/>
      </w:rPr>
      <w:t>2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11E" w:rsidRDefault="00A8711E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 w:rsidR="008970BE">
      <w:rPr>
        <w:color w:val="000000"/>
      </w:rPr>
      <w:instrText>PAGE</w:instrText>
    </w:r>
    <w:r w:rsidR="00114B06">
      <w:rPr>
        <w:color w:val="000000"/>
      </w:rPr>
      <w:fldChar w:fldCharType="separate"/>
    </w:r>
    <w:r w:rsidR="009450D2">
      <w:rPr>
        <w:noProof/>
        <w:color w:val="000000"/>
      </w:rPr>
      <w:t>1</w:t>
    </w:r>
    <w:r>
      <w:rPr>
        <w:color w:val="000000"/>
      </w:rPr>
      <w:fldChar w:fldCharType="end"/>
    </w:r>
  </w:p>
  <w:p w:rsidR="00A8711E" w:rsidRDefault="00A8711E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both"/>
      <w:rPr>
        <w:rFonts w:ascii="Palatino" w:eastAsia="Palatino" w:hAnsi="Palatino" w:cs="Palatino"/>
        <w:color w:val="000000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70BE" w:rsidRDefault="008970BE" w:rsidP="00A8711E">
      <w:r>
        <w:separator/>
      </w:r>
    </w:p>
  </w:footnote>
  <w:footnote w:type="continuationSeparator" w:id="0">
    <w:p w:rsidR="008970BE" w:rsidRDefault="008970BE" w:rsidP="00A871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11E" w:rsidRDefault="008970BE">
    <w:pPr>
      <w:pStyle w:val="normal0"/>
      <w:pBdr>
        <w:top w:val="nil"/>
        <w:left w:val="nil"/>
        <w:bottom w:val="single" w:sz="4" w:space="0" w:color="000000"/>
        <w:right w:val="nil"/>
        <w:between w:val="nil"/>
      </w:pBdr>
      <w:tabs>
        <w:tab w:val="center" w:pos="4320"/>
        <w:tab w:val="right" w:pos="8640"/>
        <w:tab w:val="right" w:pos="9498"/>
      </w:tabs>
      <w:jc w:val="both"/>
      <w:rPr>
        <w:rFonts w:ascii="Palatino" w:eastAsia="Palatino" w:hAnsi="Palatino" w:cs="Palatino"/>
        <w:color w:val="000000"/>
        <w:sz w:val="24"/>
        <w:szCs w:val="24"/>
      </w:rPr>
    </w:pPr>
    <w:r>
      <w:rPr>
        <w:b/>
        <w:bCs/>
        <w:color w:val="000000"/>
      </w:rPr>
      <w:t>International Conference on Nonlinear Science and Complexity</w:t>
    </w:r>
    <w:r>
      <w:rPr>
        <w:color w:val="000000"/>
      </w:rPr>
      <w:t xml:space="preserve"> (</w:t>
    </w:r>
    <w:r>
      <w:rPr>
        <w:b/>
        <w:bCs/>
        <w:color w:val="000000"/>
      </w:rPr>
      <w:t>NSC2026)                                July 14-17, 2026</w:t>
    </w:r>
    <w:r>
      <w:rPr>
        <w:color w:val="000000"/>
      </w:rPr>
      <w:t xml:space="preserve"> </w:t>
    </w:r>
    <w:r>
      <w:rPr>
        <w:color w:val="000000"/>
      </w:rPr>
      <w:tab/>
      <w:t xml:space="preserve">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1D5570"/>
    <w:multiLevelType w:val="multilevel"/>
    <w:tmpl w:val="B4BE86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711E"/>
    <w:rsid w:val="000A1B0D"/>
    <w:rsid w:val="00114B06"/>
    <w:rsid w:val="001C5CD8"/>
    <w:rsid w:val="006259FC"/>
    <w:rsid w:val="006F24C2"/>
    <w:rsid w:val="0089446B"/>
    <w:rsid w:val="008970BE"/>
    <w:rsid w:val="009450D2"/>
    <w:rsid w:val="00A8711E"/>
    <w:rsid w:val="00A903C8"/>
    <w:rsid w:val="00CD1E13"/>
    <w:rsid w:val="00EE648C"/>
    <w:rsid w:val="00F72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A8711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0"/>
    <w:next w:val="normal0"/>
    <w:rsid w:val="00A8711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rsid w:val="00A8711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0"/>
    <w:next w:val="normal0"/>
    <w:rsid w:val="00A8711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0"/>
    <w:next w:val="normal0"/>
    <w:rsid w:val="00A8711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0"/>
    <w:next w:val="normal0"/>
    <w:rsid w:val="00A8711E"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A8711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A8711E"/>
  </w:style>
  <w:style w:type="paragraph" w:styleId="Title">
    <w:name w:val="Title"/>
    <w:basedOn w:val="normal0"/>
    <w:next w:val="normal0"/>
    <w:rsid w:val="00A8711E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0"/>
    <w:next w:val="normal0"/>
    <w:rsid w:val="00A8711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PlaceholderText">
    <w:name w:val="Placeholder Text"/>
    <w:basedOn w:val="DefaultParagraphFont"/>
    <w:uiPriority w:val="99"/>
    <w:semiHidden/>
    <w:rsid w:val="00114B06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9450D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450D2"/>
  </w:style>
  <w:style w:type="paragraph" w:styleId="Footer">
    <w:name w:val="footer"/>
    <w:basedOn w:val="Normal"/>
    <w:link w:val="FooterChar"/>
    <w:uiPriority w:val="99"/>
    <w:unhideWhenUsed/>
    <w:rsid w:val="009450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50D2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FB58BF0-8933-49A4-9262-4DED63EAA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393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AAA</cp:lastModifiedBy>
  <cp:revision>10</cp:revision>
  <dcterms:created xsi:type="dcterms:W3CDTF">2026-06-04T20:45:00Z</dcterms:created>
  <dcterms:modified xsi:type="dcterms:W3CDTF">2026-06-04T21:16:00Z</dcterms:modified>
</cp:coreProperties>
</file>