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ACAE38E" w:rsidR="009F0991" w:rsidRDefault="0059278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36"/>
          <w:szCs w:val="36"/>
        </w:rPr>
      </w:pPr>
      <w:r w:rsidRPr="00592783">
        <w:rPr>
          <w:b/>
          <w:bCs/>
          <w:color w:val="000000"/>
          <w:sz w:val="36"/>
          <w:szCs w:val="36"/>
        </w:rPr>
        <w:t>Free-surface waves in a hollow vortex with surface tension</w:t>
      </w:r>
    </w:p>
    <w:p w14:paraId="00000002" w14:textId="77777777" w:rsidR="009F0991" w:rsidRDefault="009F0991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14:paraId="00000003" w14:textId="59EAC1D1" w:rsidR="009F0991" w:rsidRDefault="00E14F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  <w:u w:val="single"/>
        </w:rPr>
        <w:t>Yuiry</w:t>
      </w:r>
      <w:proofErr w:type="spellEnd"/>
      <w:r w:rsidR="00014721">
        <w:rPr>
          <w:b/>
          <w:bCs/>
          <w:color w:val="000000"/>
          <w:sz w:val="24"/>
          <w:szCs w:val="24"/>
          <w:u w:val="single"/>
        </w:rPr>
        <w:t xml:space="preserve"> </w:t>
      </w:r>
      <w:r>
        <w:rPr>
          <w:b/>
          <w:bCs/>
          <w:color w:val="000000"/>
          <w:sz w:val="24"/>
          <w:szCs w:val="24"/>
          <w:u w:val="single"/>
        </w:rPr>
        <w:t>A</w:t>
      </w:r>
      <w:r w:rsidR="00014721">
        <w:rPr>
          <w:b/>
          <w:bCs/>
          <w:color w:val="000000"/>
          <w:sz w:val="24"/>
          <w:szCs w:val="24"/>
          <w:u w:val="single"/>
        </w:rPr>
        <w:t xml:space="preserve">. </w:t>
      </w:r>
      <w:r>
        <w:rPr>
          <w:b/>
          <w:bCs/>
          <w:color w:val="000000"/>
          <w:sz w:val="24"/>
          <w:szCs w:val="24"/>
          <w:u w:val="single"/>
        </w:rPr>
        <w:t>Semenov</w:t>
      </w:r>
      <w:r w:rsidR="00014721">
        <w:rPr>
          <w:b/>
          <w:bCs/>
          <w:color w:val="000000"/>
          <w:sz w:val="24"/>
          <w:szCs w:val="24"/>
          <w:vertAlign w:val="superscript"/>
        </w:rPr>
        <w:t>1</w:t>
      </w:r>
      <w:r w:rsidR="00014721">
        <w:rPr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b/>
          <w:bCs/>
          <w:color w:val="000000"/>
          <w:sz w:val="24"/>
          <w:szCs w:val="24"/>
        </w:rPr>
        <w:t>Baoyu</w:t>
      </w:r>
      <w:proofErr w:type="spellEnd"/>
      <w:r>
        <w:rPr>
          <w:b/>
          <w:bCs/>
          <w:color w:val="000000"/>
          <w:sz w:val="24"/>
          <w:szCs w:val="24"/>
        </w:rPr>
        <w:t xml:space="preserve"> </w:t>
      </w:r>
      <w:r w:rsidR="00A42185">
        <w:rPr>
          <w:b/>
          <w:bCs/>
          <w:color w:val="000000"/>
          <w:sz w:val="24"/>
          <w:szCs w:val="24"/>
        </w:rPr>
        <w:t>Ni</w:t>
      </w:r>
      <w:r w:rsidR="00014721">
        <w:rPr>
          <w:b/>
          <w:bCs/>
          <w:color w:val="000000"/>
          <w:sz w:val="24"/>
          <w:szCs w:val="24"/>
          <w:vertAlign w:val="superscript"/>
        </w:rPr>
        <w:t>1</w:t>
      </w:r>
    </w:p>
    <w:p w14:paraId="00000004" w14:textId="448B914A" w:rsidR="009F0991" w:rsidRDefault="0001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vertAlign w:val="superscript"/>
        </w:rPr>
        <w:t>1</w:t>
      </w:r>
      <w:r w:rsidR="00B37AA5" w:rsidRPr="00B37AA5">
        <w:rPr>
          <w:color w:val="000000"/>
          <w:sz w:val="22"/>
          <w:szCs w:val="22"/>
          <w:lang w:val="uk-UA"/>
        </w:rPr>
        <w:t>Harbin Engineering University</w:t>
      </w:r>
      <w:r>
        <w:rPr>
          <w:color w:val="000000"/>
          <w:sz w:val="22"/>
          <w:szCs w:val="22"/>
        </w:rPr>
        <w:t xml:space="preserve">, </w:t>
      </w:r>
      <w:r w:rsidR="00B37AA5" w:rsidRPr="00B37AA5">
        <w:rPr>
          <w:color w:val="000000"/>
          <w:sz w:val="22"/>
          <w:szCs w:val="22"/>
          <w:lang w:val="uk-UA"/>
        </w:rPr>
        <w:t>College of Shipbuilding Engineering</w:t>
      </w:r>
      <w:r>
        <w:rPr>
          <w:color w:val="000000"/>
          <w:sz w:val="22"/>
          <w:szCs w:val="22"/>
        </w:rPr>
        <w:t xml:space="preserve">, </w:t>
      </w:r>
      <w:r w:rsidR="00B37AA5">
        <w:rPr>
          <w:color w:val="000000"/>
          <w:sz w:val="22"/>
          <w:szCs w:val="22"/>
        </w:rPr>
        <w:t>Harbin</w:t>
      </w:r>
      <w:r>
        <w:rPr>
          <w:color w:val="000000"/>
          <w:sz w:val="22"/>
          <w:szCs w:val="22"/>
        </w:rPr>
        <w:t xml:space="preserve">, </w:t>
      </w:r>
      <w:r w:rsidR="00EF749E">
        <w:rPr>
          <w:color w:val="000000"/>
          <w:sz w:val="22"/>
          <w:szCs w:val="22"/>
        </w:rPr>
        <w:t>PR China</w:t>
      </w:r>
      <w:r>
        <w:rPr>
          <w:color w:val="000000"/>
          <w:sz w:val="22"/>
          <w:szCs w:val="22"/>
        </w:rPr>
        <w:t xml:space="preserve"> </w:t>
      </w:r>
    </w:p>
    <w:p w14:paraId="00000006" w14:textId="10750A3B" w:rsidR="009F0991" w:rsidRPr="00901A30" w:rsidRDefault="0001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2"/>
          <w:szCs w:val="22"/>
          <w:lang w:val="it-IT"/>
        </w:rPr>
      </w:pPr>
      <w:r w:rsidRPr="00901A30">
        <w:rPr>
          <w:color w:val="000000"/>
          <w:sz w:val="22"/>
          <w:szCs w:val="22"/>
          <w:lang w:val="it-IT"/>
        </w:rPr>
        <w:t xml:space="preserve">e-mail: </w:t>
      </w:r>
      <w:r w:rsidR="001B3FB1" w:rsidRPr="00901A30">
        <w:rPr>
          <w:color w:val="000000"/>
          <w:sz w:val="22"/>
          <w:szCs w:val="22"/>
          <w:lang w:val="it-IT"/>
        </w:rPr>
        <w:t>yuriy.a.semenov@gmail.com</w:t>
      </w:r>
      <w:r w:rsidRPr="00901A30">
        <w:rPr>
          <w:color w:val="000000"/>
          <w:sz w:val="22"/>
          <w:szCs w:val="22"/>
          <w:lang w:val="it-IT"/>
        </w:rPr>
        <w:t xml:space="preserve"> </w:t>
      </w:r>
    </w:p>
    <w:p w14:paraId="00000007" w14:textId="77777777" w:rsidR="009F0991" w:rsidRPr="00901A30" w:rsidRDefault="009F09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it-IT"/>
        </w:rPr>
      </w:pPr>
    </w:p>
    <w:p w14:paraId="7C0A2A71" w14:textId="61CCC1FB" w:rsidR="00725EFA" w:rsidRDefault="000077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077D8">
        <w:rPr>
          <w:b/>
          <w:bCs/>
          <w:color w:val="000000"/>
          <w:sz w:val="24"/>
          <w:szCs w:val="24"/>
        </w:rPr>
        <w:t>Background and Motivation</w:t>
      </w:r>
      <w:r w:rsidR="00D1611B">
        <w:rPr>
          <w:b/>
          <w:bCs/>
          <w:color w:val="000000"/>
          <w:sz w:val="24"/>
          <w:szCs w:val="24"/>
        </w:rPr>
        <w:t>.</w:t>
      </w:r>
      <w:r w:rsidR="00014721">
        <w:rPr>
          <w:b/>
          <w:bCs/>
          <w:color w:val="000000"/>
          <w:sz w:val="24"/>
          <w:szCs w:val="24"/>
        </w:rPr>
        <w:t xml:space="preserve"> </w:t>
      </w:r>
      <w:r w:rsidR="00D97DDF">
        <w:rPr>
          <w:sz w:val="24"/>
          <w:szCs w:val="24"/>
        </w:rPr>
        <w:t xml:space="preserve">A hollow vortex forms when the pressure at the core of a point vortex drops below the </w:t>
      </w:r>
      <w:proofErr w:type="spellStart"/>
      <w:r w:rsidR="00D97DDF">
        <w:rPr>
          <w:sz w:val="24"/>
          <w:szCs w:val="24"/>
        </w:rPr>
        <w:t>vapour</w:t>
      </w:r>
      <w:proofErr w:type="spellEnd"/>
      <w:r w:rsidR="00D97DDF">
        <w:rPr>
          <w:sz w:val="24"/>
          <w:szCs w:val="24"/>
        </w:rPr>
        <w:t xml:space="preserve"> pressure of the surrounding liquid. Such structures arise in a wide range of natural and engineering contexts: tornadoes, tip vortex cavitation on marine propellers, vortex rope cavitation in </w:t>
      </w:r>
      <w:proofErr w:type="gramStart"/>
      <w:r w:rsidR="00D97DDF">
        <w:rPr>
          <w:sz w:val="24"/>
          <w:szCs w:val="24"/>
        </w:rPr>
        <w:t>Francis</w:t>
      </w:r>
      <w:proofErr w:type="gramEnd"/>
      <w:r w:rsidR="00D97DDF">
        <w:rPr>
          <w:sz w:val="24"/>
          <w:szCs w:val="24"/>
        </w:rPr>
        <w:t xml:space="preserve"> turbine draft tubes, and industrial mixers. The interior of a hollow vortex contains </w:t>
      </w:r>
      <w:proofErr w:type="spellStart"/>
      <w:r w:rsidR="00D97DDF">
        <w:rPr>
          <w:sz w:val="24"/>
          <w:szCs w:val="24"/>
        </w:rPr>
        <w:t>vapour</w:t>
      </w:r>
      <w:proofErr w:type="spellEnd"/>
      <w:r w:rsidR="00D97DDF">
        <w:rPr>
          <w:sz w:val="24"/>
          <w:szCs w:val="24"/>
        </w:rPr>
        <w:t xml:space="preserve"> or air at nearly constant pressure, while the exterior flow is treated as incompressible and irrotational.</w:t>
      </w:r>
      <w:r w:rsidR="00556206">
        <w:rPr>
          <w:sz w:val="24"/>
          <w:szCs w:val="24"/>
        </w:rPr>
        <w:t xml:space="preserve"> </w:t>
      </w:r>
      <w:r w:rsidR="00556206">
        <w:rPr>
          <w:sz w:val="24"/>
          <w:szCs w:val="24"/>
        </w:rPr>
        <w:t>Theoretical study of hollow vortices dates to Hicks (1883) and Pocklington (1895), with substantial modern advances by Christopher &amp; Llewellyn Smith (2021), who computed equilibrium shapes in corner geometries. However, all prior work in the presence of solid boundaries neglects surface tension. Surface tension introduces a pressure jump proportional to the local curvature of the free surface (Young–Laplace relation), so the velocity magnitude along the boundary is no longer constant — making the problem substantially more difficult. The present paper fills this gap by obtaining, for the first time, equilibrium configurations of hollow vortices with surface tension confined within a corner geometry.</w:t>
      </w:r>
    </w:p>
    <w:p w14:paraId="3DE26051" w14:textId="679987C6" w:rsidR="00D1611B" w:rsidRDefault="001B7E2D" w:rsidP="009D6A29">
      <w:pPr>
        <w:spacing w:line="360" w:lineRule="auto"/>
        <w:jc w:val="both"/>
        <w:rPr>
          <w:sz w:val="24"/>
          <w:szCs w:val="24"/>
        </w:rPr>
      </w:pPr>
      <w:r w:rsidRPr="001B7E2D">
        <w:rPr>
          <w:b/>
          <w:bCs/>
          <w:color w:val="000000"/>
          <w:sz w:val="24"/>
          <w:szCs w:val="24"/>
        </w:rPr>
        <w:t>Problem Formulation</w:t>
      </w:r>
      <w:r w:rsidR="00D1611B">
        <w:rPr>
          <w:b/>
          <w:bCs/>
          <w:color w:val="000000"/>
          <w:sz w:val="24"/>
          <w:szCs w:val="24"/>
        </w:rPr>
        <w:t xml:space="preserve">. </w:t>
      </w:r>
      <w:r w:rsidR="00D1611B">
        <w:rPr>
          <w:sz w:val="24"/>
          <w:szCs w:val="24"/>
        </w:rPr>
        <w:t>The flow domain</w:t>
      </w:r>
      <w:r w:rsidR="00445303" w:rsidRPr="00445303">
        <w:rPr>
          <w:sz w:val="24"/>
          <w:szCs w:val="24"/>
        </w:rPr>
        <w:t xml:space="preserve"> </w:t>
      </w:r>
      <w:r w:rsidR="00445303">
        <w:rPr>
          <w:sz w:val="24"/>
          <w:szCs w:val="24"/>
        </w:rPr>
        <w:t>shown in Fig.1</w:t>
      </w:r>
      <w:r w:rsidR="00445303" w:rsidRPr="00445303">
        <w:rPr>
          <w:i/>
          <w:iCs/>
          <w:sz w:val="24"/>
          <w:szCs w:val="24"/>
        </w:rPr>
        <w:t>a</w:t>
      </w:r>
      <w:r w:rsidR="00D1611B">
        <w:rPr>
          <w:sz w:val="24"/>
          <w:szCs w:val="24"/>
        </w:rPr>
        <w:t xml:space="preserve"> is a corner of interior half-angle α </w:t>
      </w:r>
      <w:r w:rsidR="00D1611B">
        <w:rPr>
          <w:rFonts w:ascii="Cambria Math" w:hAnsi="Cambria Math" w:cs="Cambria Math"/>
          <w:sz w:val="24"/>
          <w:szCs w:val="24"/>
        </w:rPr>
        <w:t>∈</w:t>
      </w:r>
      <w:r w:rsidR="00D1611B">
        <w:rPr>
          <w:sz w:val="24"/>
          <w:szCs w:val="24"/>
        </w:rPr>
        <w:t xml:space="preserve"> (0, π), bounded by a solid wall and a line of symmetry. A hollow vortex, symmetric about the corner bisector, is located at unit distance </w:t>
      </w:r>
      <w:r w:rsidR="00D1611B" w:rsidRPr="009D2F08">
        <w:rPr>
          <w:i/>
          <w:iCs/>
          <w:sz w:val="24"/>
          <w:szCs w:val="24"/>
        </w:rPr>
        <w:t>D</w:t>
      </w:r>
      <w:r w:rsidR="00D1611B">
        <w:rPr>
          <w:sz w:val="24"/>
          <w:szCs w:val="24"/>
        </w:rPr>
        <w:t xml:space="preserve"> from the apex. By exploiting this symmetry, the doubly connected full domain is reduced to a simply connected half-domain, greatly simplifying the analysis.</w:t>
      </w:r>
      <w:r w:rsidR="00A2148E">
        <w:rPr>
          <w:sz w:val="24"/>
          <w:szCs w:val="24"/>
        </w:rPr>
        <w:t xml:space="preserve"> </w:t>
      </w:r>
      <w:r w:rsidR="00445303">
        <w:rPr>
          <w:sz w:val="24"/>
          <w:szCs w:val="24"/>
        </w:rPr>
        <w:t xml:space="preserve">The integral hodograph method is applied: analytical expressions for the complex velocity </w:t>
      </w:r>
      <w:proofErr w:type="spellStart"/>
      <w:r w:rsidR="00445303" w:rsidRPr="00445303">
        <w:rPr>
          <w:i/>
          <w:iCs/>
          <w:sz w:val="24"/>
          <w:szCs w:val="24"/>
        </w:rPr>
        <w:t>dw</w:t>
      </w:r>
      <w:proofErr w:type="spellEnd"/>
      <w:r w:rsidR="00445303" w:rsidRPr="00445303">
        <w:rPr>
          <w:i/>
          <w:iCs/>
          <w:sz w:val="24"/>
          <w:szCs w:val="24"/>
        </w:rPr>
        <w:t>/</w:t>
      </w:r>
      <w:proofErr w:type="spellStart"/>
      <w:r w:rsidR="00445303" w:rsidRPr="00445303">
        <w:rPr>
          <w:i/>
          <w:iCs/>
          <w:sz w:val="24"/>
          <w:szCs w:val="24"/>
        </w:rPr>
        <w:t>dz</w:t>
      </w:r>
      <w:proofErr w:type="spellEnd"/>
      <w:r w:rsidR="00445303">
        <w:rPr>
          <w:sz w:val="24"/>
          <w:szCs w:val="24"/>
        </w:rPr>
        <w:t xml:space="preserve"> and the derivative of the complex potential </w:t>
      </w:r>
      <w:proofErr w:type="spellStart"/>
      <w:r w:rsidR="00445303" w:rsidRPr="00445303">
        <w:rPr>
          <w:i/>
          <w:iCs/>
          <w:sz w:val="24"/>
          <w:szCs w:val="24"/>
        </w:rPr>
        <w:t>dw</w:t>
      </w:r>
      <w:proofErr w:type="spellEnd"/>
      <w:r w:rsidR="00445303" w:rsidRPr="00445303">
        <w:rPr>
          <w:i/>
          <w:iCs/>
          <w:sz w:val="24"/>
          <w:szCs w:val="24"/>
        </w:rPr>
        <w:t>/</w:t>
      </w:r>
      <w:proofErr w:type="spellStart"/>
      <w:r w:rsidR="00445303" w:rsidRPr="00445303">
        <w:rPr>
          <w:i/>
          <w:iCs/>
          <w:sz w:val="24"/>
          <w:szCs w:val="24"/>
        </w:rPr>
        <w:t>dζ</w:t>
      </w:r>
      <w:proofErr w:type="spellEnd"/>
      <w:r w:rsidR="00445303">
        <w:rPr>
          <w:sz w:val="24"/>
          <w:szCs w:val="24"/>
        </w:rPr>
        <w:t xml:space="preserve"> are constructed in the first quadrant of an auxiliary parameter plane </w:t>
      </w:r>
      <w:r w:rsidR="00445303" w:rsidRPr="00445303">
        <w:rPr>
          <w:i/>
          <w:iCs/>
          <w:sz w:val="24"/>
          <w:szCs w:val="24"/>
        </w:rPr>
        <w:t>ζ</w:t>
      </w:r>
      <w:r w:rsidR="00445303">
        <w:rPr>
          <w:sz w:val="24"/>
          <w:szCs w:val="24"/>
        </w:rPr>
        <w:t xml:space="preserve"> as shown in Fig.1b</w:t>
      </w:r>
      <w:r w:rsidR="00445303">
        <w:rPr>
          <w:sz w:val="24"/>
          <w:szCs w:val="24"/>
        </w:rPr>
        <w:t>, where the imaginary axis maps to the free surface and the real axis to the solid boundary. Applying the dynamic boundary condition</w:t>
      </w:r>
      <w:r w:rsidR="00445303">
        <w:rPr>
          <w:sz w:val="24"/>
          <w:szCs w:val="24"/>
        </w:rPr>
        <w:t xml:space="preserve"> – </w:t>
      </w:r>
      <w:r w:rsidR="00445303">
        <w:rPr>
          <w:sz w:val="24"/>
          <w:szCs w:val="24"/>
        </w:rPr>
        <w:t xml:space="preserve">Bernoulli's equation combined with the Young–Laplace pressure jump </w:t>
      </w:r>
      <m:oMath>
        <m:r>
          <w:rPr>
            <w:rFonts w:ascii="Cambria Math" w:hAnsi="Cambria Math"/>
            <w:sz w:val="24"/>
            <w:szCs w:val="24"/>
          </w:rPr>
          <m:t xml:space="preserve">∆p=τκ </m:t>
        </m:r>
      </m:oMath>
      <w:r w:rsidR="005C186F">
        <w:rPr>
          <w:sz w:val="24"/>
          <w:szCs w:val="24"/>
        </w:rPr>
        <w:t xml:space="preserve">– </w:t>
      </w:r>
      <w:r w:rsidR="00445303">
        <w:rPr>
          <w:sz w:val="24"/>
          <w:szCs w:val="24"/>
        </w:rPr>
        <w:t xml:space="preserve">yields a singular integral equation for the velocity magnitude </w:t>
      </w:r>
      <m:oMath>
        <m:r>
          <w:rPr>
            <w:rFonts w:ascii="Cambria Math" w:hAnsi="Cambria Math"/>
            <w:sz w:val="24"/>
            <w:szCs w:val="24"/>
          </w:rPr>
          <m:t>v(η)</m:t>
        </m:r>
      </m:oMath>
      <w:r w:rsidR="00445303">
        <w:rPr>
          <w:sz w:val="24"/>
          <w:szCs w:val="24"/>
        </w:rPr>
        <w:t xml:space="preserve"> along the free surface</w:t>
      </w:r>
      <w:r w:rsidR="001B506F">
        <w:rPr>
          <w:sz w:val="24"/>
          <w:szCs w:val="24"/>
        </w:rPr>
        <w:t>.</w:t>
      </w:r>
    </w:p>
    <w:p w14:paraId="7361C632" w14:textId="671B072F" w:rsidR="00725A9A" w:rsidRDefault="00725A9A" w:rsidP="00725A9A">
      <w:pPr>
        <w:spacing w:line="360" w:lineRule="auto"/>
        <w:jc w:val="both"/>
      </w:pPr>
      <w:r>
        <w:rPr>
          <w:b/>
          <w:bCs/>
          <w:sz w:val="24"/>
          <w:szCs w:val="24"/>
        </w:rPr>
        <w:t xml:space="preserve">Wave </w:t>
      </w:r>
      <w:proofErr w:type="spellStart"/>
      <w:r>
        <w:rPr>
          <w:b/>
          <w:bCs/>
          <w:sz w:val="24"/>
          <w:szCs w:val="24"/>
        </w:rPr>
        <w:t>quantisation</w:t>
      </w:r>
      <w:proofErr w:type="spellEnd"/>
      <w:r>
        <w:rPr>
          <w:b/>
          <w:bCs/>
          <w:sz w:val="24"/>
          <w:szCs w:val="24"/>
        </w:rPr>
        <w:t xml:space="preserve">. </w:t>
      </w:r>
      <w:r>
        <w:rPr>
          <w:sz w:val="24"/>
          <w:szCs w:val="24"/>
        </w:rPr>
        <w:t xml:space="preserve">For finite </w:t>
      </w:r>
      <m:oMath>
        <m:r>
          <w:rPr>
            <w:rFonts w:ascii="Cambria Math" w:hAnsi="Cambria Math"/>
            <w:sz w:val="24"/>
            <w:szCs w:val="24"/>
          </w:rPr>
          <m:t>We</m:t>
        </m:r>
      </m:oMath>
      <w:r>
        <w:rPr>
          <w:sz w:val="24"/>
          <w:szCs w:val="24"/>
        </w:rPr>
        <w:t xml:space="preserve">, surface tension excites capillary waves on the free surface. On a finite-length boundary, only a discrete set of wave modes can be accommodated — in contrast to an unbounded free surface where the wavelength varies continuously with </w:t>
      </w:r>
      <m:oMath>
        <m:r>
          <w:rPr>
            <w:rFonts w:ascii="Cambria Math" w:hAnsi="Cambria Math"/>
            <w:sz w:val="24"/>
            <w:szCs w:val="24"/>
          </w:rPr>
          <m:t>We</m:t>
        </m:r>
      </m:oMath>
      <w:r>
        <w:rPr>
          <w:sz w:val="24"/>
          <w:szCs w:val="24"/>
        </w:rPr>
        <w:t xml:space="preserve">. As </w:t>
      </w:r>
      <m:oMath>
        <m:r>
          <w:rPr>
            <w:rFonts w:ascii="Cambria Math" w:hAnsi="Cambria Math"/>
            <w:sz w:val="24"/>
            <w:szCs w:val="24"/>
          </w:rPr>
          <m:t>We</m:t>
        </m:r>
      </m:oMath>
      <w:r>
        <w:rPr>
          <w:sz w:val="24"/>
          <w:szCs w:val="24"/>
        </w:rPr>
        <w:t xml:space="preserve"> increases from a low value, the number of standing waves on the vortex boundary increases by one at each transition, accompanied by a </w:t>
      </w:r>
      <w:r>
        <w:rPr>
          <w:sz w:val="24"/>
          <w:szCs w:val="24"/>
        </w:rPr>
        <w:lastRenderedPageBreak/>
        <w:t xml:space="preserve">sudden change in shape. Within any given mode, varying We produces only minor shape modifications. Wave amplitudes decrease as </w:t>
      </w:r>
      <m:oMath>
        <m:r>
          <w:rPr>
            <w:rFonts w:ascii="Cambria Math" w:hAnsi="Cambria Math"/>
            <w:sz w:val="24"/>
            <w:szCs w:val="24"/>
          </w:rPr>
          <m:t>We</m:t>
        </m:r>
      </m:oMath>
      <w:r>
        <w:rPr>
          <w:sz w:val="24"/>
          <w:szCs w:val="24"/>
        </w:rPr>
        <w:t xml:space="preserve"> grows and vanish in the </w:t>
      </w:r>
      <m:oMath>
        <m:r>
          <w:rPr>
            <w:rFonts w:ascii="Cambria Math" w:hAnsi="Cambria Math"/>
            <w:sz w:val="24"/>
            <w:szCs w:val="24"/>
          </w:rPr>
          <m:t>We → ∞</m:t>
        </m:r>
      </m:oMath>
      <w:r>
        <w:rPr>
          <w:sz w:val="24"/>
          <w:szCs w:val="24"/>
        </w:rPr>
        <w:t xml:space="preserve"> limit.</w:t>
      </w:r>
    </w:p>
    <w:p w14:paraId="095DED35" w14:textId="77777777" w:rsidR="00725A9A" w:rsidRPr="0091580B" w:rsidRDefault="00725A9A" w:rsidP="009D6A29">
      <w:pPr>
        <w:spacing w:line="360" w:lineRule="auto"/>
        <w:jc w:val="both"/>
      </w:pPr>
    </w:p>
    <w:p w14:paraId="3074F1E0" w14:textId="23172763" w:rsidR="001B7E2D" w:rsidRDefault="00E728E3" w:rsidP="00E728E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  <w:r w:rsidRPr="00E728E3">
        <w:rPr>
          <w:b/>
          <w:bCs/>
          <w:noProof/>
          <w:color w:val="000000"/>
          <w:sz w:val="24"/>
          <w:szCs w:val="24"/>
        </w:rPr>
        <w:drawing>
          <wp:inline distT="0" distB="0" distL="0" distR="0" wp14:anchorId="2F0CC120" wp14:editId="5B428C8F">
            <wp:extent cx="4438650" cy="1790700"/>
            <wp:effectExtent l="0" t="0" r="0" b="0"/>
            <wp:docPr id="10191224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4C0C" w14:textId="2AD094E7" w:rsidR="00D0076F" w:rsidRPr="00D0076F" w:rsidRDefault="00D0076F" w:rsidP="009415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D0076F">
        <w:rPr>
          <w:color w:val="000000"/>
          <w:sz w:val="24"/>
          <w:szCs w:val="24"/>
        </w:rPr>
        <w:t>Fig</w:t>
      </w:r>
      <w:r>
        <w:rPr>
          <w:color w:val="000000"/>
          <w:sz w:val="24"/>
          <w:szCs w:val="24"/>
        </w:rPr>
        <w:t>.2</w:t>
      </w:r>
      <w:r w:rsidRPr="00D0076F">
        <w:rPr>
          <w:color w:val="000000"/>
          <w:sz w:val="24"/>
          <w:szCs w:val="24"/>
        </w:rPr>
        <w:t xml:space="preserve">. </w:t>
      </w:r>
      <w:proofErr w:type="spellStart"/>
      <w:r w:rsidRPr="00D0076F">
        <w:rPr>
          <w:color w:val="000000"/>
          <w:sz w:val="24"/>
          <w:szCs w:val="24"/>
        </w:rPr>
        <w:t>Quantisation</w:t>
      </w:r>
      <w:proofErr w:type="spellEnd"/>
      <w:r w:rsidRPr="00D0076F">
        <w:rPr>
          <w:color w:val="000000"/>
          <w:sz w:val="24"/>
          <w:szCs w:val="24"/>
        </w:rPr>
        <w:t xml:space="preserve"> of free-surface waves under continuous variation of the Weber number</w:t>
      </w:r>
      <w:r w:rsidR="009415F7">
        <w:rPr>
          <w:color w:val="000000"/>
          <w:sz w:val="24"/>
          <w:szCs w:val="24"/>
        </w:rPr>
        <w:t xml:space="preserve">. </w:t>
      </w:r>
      <w:r w:rsidRPr="00D0076F">
        <w:rPr>
          <w:color w:val="000000"/>
          <w:sz w:val="24"/>
          <w:szCs w:val="24"/>
        </w:rPr>
        <w:t>The self-intersection observed in the curves shown in orange indicates that the contour extends onto the second</w:t>
      </w:r>
    </w:p>
    <w:p w14:paraId="4B55A33A" w14:textId="0EEF5D1A" w:rsidR="00E728E3" w:rsidRPr="00D0076F" w:rsidRDefault="00D0076F" w:rsidP="009415F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D0076F">
        <w:rPr>
          <w:color w:val="000000"/>
          <w:sz w:val="24"/>
          <w:szCs w:val="24"/>
        </w:rPr>
        <w:t>Riemann sheet, which is generally considered unphysical.</w:t>
      </w:r>
    </w:p>
    <w:p w14:paraId="298E6AAF" w14:textId="77777777" w:rsidR="00532CEA" w:rsidRDefault="00532CEA" w:rsidP="00532CEA">
      <w:pPr>
        <w:pStyle w:val="Heading1"/>
        <w:spacing w:before="0" w:after="0" w:line="360" w:lineRule="auto"/>
        <w:rPr>
          <w:sz w:val="26"/>
          <w:szCs w:val="26"/>
        </w:rPr>
      </w:pPr>
    </w:p>
    <w:p w14:paraId="1511604E" w14:textId="06F2BECD" w:rsidR="004F03F7" w:rsidRPr="00532CEA" w:rsidRDefault="004F03F7" w:rsidP="00532CEA">
      <w:pPr>
        <w:pStyle w:val="Heading1"/>
        <w:spacing w:before="0" w:after="0" w:line="360" w:lineRule="auto"/>
        <w:rPr>
          <w:b w:val="0"/>
          <w:bCs w:val="0"/>
        </w:rPr>
      </w:pPr>
      <w:r>
        <w:rPr>
          <w:sz w:val="26"/>
          <w:szCs w:val="26"/>
        </w:rPr>
        <w:t>Conclusions</w:t>
      </w:r>
      <w:r w:rsidR="00532CEA">
        <w:rPr>
          <w:sz w:val="26"/>
          <w:szCs w:val="26"/>
        </w:rPr>
        <w:t xml:space="preserve">. </w:t>
      </w:r>
      <w:r w:rsidRPr="00532CEA">
        <w:rPr>
          <w:b w:val="0"/>
          <w:bCs w:val="0"/>
          <w:sz w:val="24"/>
          <w:szCs w:val="24"/>
        </w:rPr>
        <w:t>This work provides the first equilibrium configurations of hollow vortices with surface tension in the presence of solid boundaries. The integral hodograph method proves effective for this class of free-boundary problems: it accommodates fully nonlinear boundary conditions on both the free surface and the corner wall, and yields a tractable singular integral equation solvable by standard collocation-Newton iterations.</w:t>
      </w:r>
    </w:p>
    <w:p w14:paraId="0000000F" w14:textId="16A5BBF4" w:rsidR="009F0991" w:rsidRPr="002632EC" w:rsidRDefault="0001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GB"/>
        </w:rPr>
      </w:pPr>
      <w:r>
        <w:rPr>
          <w:b/>
          <w:bCs/>
          <w:color w:val="000000"/>
          <w:sz w:val="24"/>
          <w:szCs w:val="24"/>
        </w:rPr>
        <w:t>K</w:t>
      </w:r>
      <w:r>
        <w:rPr>
          <w:b/>
          <w:bCs/>
          <w:color w:val="000000"/>
          <w:sz w:val="24"/>
          <w:szCs w:val="24"/>
        </w:rPr>
        <w:t>eywords:</w:t>
      </w:r>
      <w:r>
        <w:rPr>
          <w:color w:val="000000"/>
          <w:sz w:val="24"/>
          <w:szCs w:val="24"/>
        </w:rPr>
        <w:t xml:space="preserve"> </w:t>
      </w:r>
      <w:r w:rsidR="00A00488" w:rsidRPr="00A00488">
        <w:rPr>
          <w:color w:val="000000"/>
          <w:sz w:val="24"/>
          <w:szCs w:val="24"/>
          <w:lang w:val="uk-UA"/>
        </w:rPr>
        <w:t>vortex flows, capillary waves</w:t>
      </w:r>
      <w:r w:rsidR="00A00488">
        <w:rPr>
          <w:color w:val="000000"/>
          <w:sz w:val="24"/>
          <w:szCs w:val="24"/>
          <w:lang w:val="en-GB"/>
        </w:rPr>
        <w:t>.</w:t>
      </w:r>
    </w:p>
    <w:p w14:paraId="00000011" w14:textId="43BAD263" w:rsidR="009F0991" w:rsidRDefault="00014721" w:rsidP="002868C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Acknowledgement:</w:t>
      </w:r>
      <w:r>
        <w:rPr>
          <w:i/>
          <w:iCs/>
          <w:color w:val="000000"/>
          <w:sz w:val="24"/>
          <w:szCs w:val="24"/>
        </w:rPr>
        <w:t xml:space="preserve"> </w:t>
      </w:r>
      <w:r w:rsidR="00141480" w:rsidRPr="00141480">
        <w:rPr>
          <w:i/>
          <w:iCs/>
          <w:color w:val="000000"/>
          <w:sz w:val="24"/>
          <w:szCs w:val="24"/>
          <w:lang w:val="uk-UA"/>
        </w:rPr>
        <w:t>This work is supported by the National Natural Science Foundation of China (nos W2541018,</w:t>
      </w:r>
      <w:r w:rsidR="00141480">
        <w:rPr>
          <w:i/>
          <w:iCs/>
          <w:color w:val="000000"/>
          <w:sz w:val="24"/>
          <w:szCs w:val="24"/>
          <w:lang w:val="en-GB"/>
        </w:rPr>
        <w:t xml:space="preserve"> </w:t>
      </w:r>
      <w:r w:rsidR="00141480" w:rsidRPr="00141480">
        <w:rPr>
          <w:i/>
          <w:iCs/>
          <w:color w:val="000000"/>
          <w:sz w:val="24"/>
          <w:szCs w:val="24"/>
          <w:lang w:val="uk-UA"/>
        </w:rPr>
        <w:t>52521009, 52192693, 52192690, 52350410468, W2433140), for which the authors are most grateful.</w:t>
      </w:r>
    </w:p>
    <w:p w14:paraId="00000012" w14:textId="77777777" w:rsidR="009F0991" w:rsidRDefault="00014721" w:rsidP="004138FE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References</w:t>
      </w:r>
    </w:p>
    <w:p w14:paraId="21A2B754" w14:textId="250FA0E9" w:rsidR="0005350F" w:rsidRDefault="0001472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</w:rPr>
        <w:t>[1]</w:t>
      </w:r>
      <w:r>
        <w:rPr>
          <w:color w:val="000000"/>
          <w:sz w:val="24"/>
          <w:szCs w:val="24"/>
        </w:rPr>
        <w:tab/>
      </w:r>
      <w:r w:rsidR="0005350F">
        <w:rPr>
          <w:color w:val="000000"/>
          <w:sz w:val="24"/>
          <w:szCs w:val="24"/>
          <w:lang w:val="en-GB"/>
        </w:rPr>
        <w:t>H</w:t>
      </w:r>
      <w:r w:rsidR="0005350F" w:rsidRPr="0005350F">
        <w:rPr>
          <w:color w:val="000000"/>
          <w:sz w:val="24"/>
          <w:szCs w:val="24"/>
          <w:lang w:val="uk-UA"/>
        </w:rPr>
        <w:t>icks</w:t>
      </w:r>
      <w:r w:rsidR="0005350F" w:rsidRPr="0005350F">
        <w:rPr>
          <w:color w:val="000000"/>
          <w:sz w:val="24"/>
          <w:szCs w:val="24"/>
          <w:lang w:val="uk-UA"/>
        </w:rPr>
        <w:t xml:space="preserve">, W.M. </w:t>
      </w:r>
      <w:r w:rsidR="0005350F" w:rsidRPr="0005350F">
        <w:rPr>
          <w:i/>
          <w:iCs/>
          <w:color w:val="000000"/>
          <w:sz w:val="24"/>
          <w:szCs w:val="24"/>
          <w:lang w:val="uk-UA"/>
        </w:rPr>
        <w:t xml:space="preserve">Proc. R. Soc. Lond. </w:t>
      </w:r>
      <w:r w:rsidR="0005350F" w:rsidRPr="0005350F">
        <w:rPr>
          <w:color w:val="000000"/>
          <w:sz w:val="24"/>
          <w:szCs w:val="24"/>
          <w:lang w:val="uk-UA"/>
        </w:rPr>
        <w:t>35, 304–308</w:t>
      </w:r>
      <w:r w:rsidR="004138FE">
        <w:rPr>
          <w:color w:val="000000"/>
          <w:sz w:val="24"/>
          <w:szCs w:val="24"/>
          <w:lang w:val="en-GB"/>
        </w:rPr>
        <w:t xml:space="preserve"> (</w:t>
      </w:r>
      <w:r w:rsidR="004138FE" w:rsidRPr="0005350F">
        <w:rPr>
          <w:color w:val="000000"/>
          <w:sz w:val="24"/>
          <w:szCs w:val="24"/>
          <w:lang w:val="uk-UA"/>
        </w:rPr>
        <w:t>1883</w:t>
      </w:r>
      <w:r w:rsidR="004138FE">
        <w:rPr>
          <w:color w:val="000000"/>
          <w:sz w:val="24"/>
          <w:szCs w:val="24"/>
          <w:lang w:val="en-GB"/>
        </w:rPr>
        <w:t>)</w:t>
      </w:r>
      <w:r w:rsidR="0005350F" w:rsidRPr="0005350F">
        <w:rPr>
          <w:color w:val="000000"/>
          <w:sz w:val="24"/>
          <w:szCs w:val="24"/>
          <w:lang w:val="uk-UA"/>
        </w:rPr>
        <w:t>.</w:t>
      </w:r>
    </w:p>
    <w:p w14:paraId="00000014" w14:textId="534AEC05" w:rsidR="009F0991" w:rsidRDefault="00014721" w:rsidP="00F844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[2]</w:t>
      </w:r>
      <w:r>
        <w:rPr>
          <w:color w:val="000000"/>
          <w:sz w:val="24"/>
          <w:szCs w:val="24"/>
        </w:rPr>
        <w:tab/>
      </w:r>
      <w:r w:rsidR="00F844DF" w:rsidRPr="00F844DF">
        <w:rPr>
          <w:color w:val="000000"/>
          <w:sz w:val="24"/>
          <w:szCs w:val="24"/>
          <w:lang w:val="uk-UA"/>
        </w:rPr>
        <w:t>Pocklington</w:t>
      </w:r>
      <w:r w:rsidR="00F844DF" w:rsidRPr="00F844DF">
        <w:rPr>
          <w:color w:val="000000"/>
          <w:sz w:val="24"/>
          <w:szCs w:val="24"/>
          <w:lang w:val="uk-UA"/>
        </w:rPr>
        <w:t xml:space="preserve">, H.C. </w:t>
      </w:r>
      <w:r w:rsidR="00F844DF" w:rsidRPr="00F844DF">
        <w:rPr>
          <w:i/>
          <w:iCs/>
          <w:color w:val="000000"/>
          <w:sz w:val="24"/>
          <w:szCs w:val="24"/>
          <w:lang w:val="uk-UA"/>
        </w:rPr>
        <w:t xml:space="preserve">Proc. Camb. Phil. Soc. </w:t>
      </w:r>
      <w:r w:rsidR="00F844DF" w:rsidRPr="00F844DF">
        <w:rPr>
          <w:color w:val="000000"/>
          <w:sz w:val="24"/>
          <w:szCs w:val="24"/>
          <w:lang w:val="uk-UA"/>
        </w:rPr>
        <w:t>8, 178–187</w:t>
      </w:r>
      <w:r w:rsidR="000A634C">
        <w:rPr>
          <w:color w:val="000000"/>
          <w:sz w:val="24"/>
          <w:szCs w:val="24"/>
          <w:lang w:val="en-GB"/>
        </w:rPr>
        <w:t xml:space="preserve"> </w:t>
      </w:r>
      <w:r>
        <w:rPr>
          <w:color w:val="000000"/>
          <w:sz w:val="24"/>
          <w:szCs w:val="24"/>
        </w:rPr>
        <w:t>(</w:t>
      </w:r>
      <w:r w:rsidR="00F844DF" w:rsidRPr="00F844DF">
        <w:rPr>
          <w:color w:val="000000"/>
          <w:sz w:val="24"/>
          <w:szCs w:val="24"/>
          <w:lang w:val="uk-UA"/>
        </w:rPr>
        <w:t>1895</w:t>
      </w:r>
      <w:r>
        <w:rPr>
          <w:color w:val="000000"/>
          <w:sz w:val="24"/>
          <w:szCs w:val="24"/>
        </w:rPr>
        <w:t>).</w:t>
      </w:r>
    </w:p>
    <w:p w14:paraId="00000015" w14:textId="6A863493" w:rsidR="009F0991" w:rsidRDefault="00014721" w:rsidP="00196B8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 w:hanging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[3]</w:t>
      </w:r>
      <w:r>
        <w:rPr>
          <w:color w:val="000000"/>
          <w:sz w:val="24"/>
          <w:szCs w:val="24"/>
        </w:rPr>
        <w:tab/>
      </w:r>
      <w:r w:rsidR="00B95FB4" w:rsidRPr="00B95FB4">
        <w:rPr>
          <w:color w:val="000000"/>
          <w:sz w:val="24"/>
          <w:szCs w:val="24"/>
          <w:lang w:val="uk-UA"/>
        </w:rPr>
        <w:t>Christopher</w:t>
      </w:r>
      <w:r w:rsidR="00B95FB4" w:rsidRPr="00B95FB4">
        <w:rPr>
          <w:color w:val="000000"/>
          <w:sz w:val="24"/>
          <w:szCs w:val="24"/>
          <w:lang w:val="uk-UA"/>
        </w:rPr>
        <w:t xml:space="preserve">, T.W. &amp; </w:t>
      </w:r>
      <w:r w:rsidR="00D842B7" w:rsidRPr="00B95FB4">
        <w:rPr>
          <w:color w:val="000000"/>
          <w:sz w:val="24"/>
          <w:szCs w:val="24"/>
          <w:lang w:val="uk-UA"/>
        </w:rPr>
        <w:t>Llewellyn Smith</w:t>
      </w:r>
      <w:r w:rsidR="00B95FB4" w:rsidRPr="00B95FB4">
        <w:rPr>
          <w:color w:val="000000"/>
          <w:sz w:val="24"/>
          <w:szCs w:val="24"/>
          <w:lang w:val="uk-UA"/>
        </w:rPr>
        <w:t xml:space="preserve">, S.G. </w:t>
      </w:r>
      <w:r w:rsidR="00B95FB4" w:rsidRPr="00B95FB4">
        <w:rPr>
          <w:i/>
          <w:iCs/>
          <w:color w:val="000000"/>
          <w:sz w:val="24"/>
          <w:szCs w:val="24"/>
          <w:lang w:val="uk-UA"/>
        </w:rPr>
        <w:t xml:space="preserve">J. Fluid Mech. </w:t>
      </w:r>
      <w:r w:rsidR="00B95FB4" w:rsidRPr="00B95FB4">
        <w:rPr>
          <w:color w:val="000000"/>
          <w:sz w:val="24"/>
          <w:szCs w:val="24"/>
          <w:lang w:val="uk-UA"/>
        </w:rPr>
        <w:t>908, R2</w:t>
      </w:r>
      <w:r w:rsidR="00B95FB4">
        <w:rPr>
          <w:color w:val="000000"/>
          <w:sz w:val="24"/>
          <w:szCs w:val="24"/>
          <w:lang w:val="en-GB"/>
        </w:rPr>
        <w:t xml:space="preserve"> </w:t>
      </w:r>
      <w:r w:rsidR="002632EC">
        <w:rPr>
          <w:color w:val="000000"/>
          <w:sz w:val="24"/>
          <w:szCs w:val="24"/>
          <w:lang w:val="en-GB"/>
        </w:rPr>
        <w:t>(</w:t>
      </w:r>
      <w:r w:rsidR="002632EC" w:rsidRPr="00196B80">
        <w:rPr>
          <w:color w:val="000000"/>
          <w:sz w:val="24"/>
          <w:szCs w:val="24"/>
          <w:lang w:val="uk-UA"/>
        </w:rPr>
        <w:t>20</w:t>
      </w:r>
      <w:r w:rsidR="00B95FB4">
        <w:rPr>
          <w:color w:val="000000"/>
          <w:sz w:val="24"/>
          <w:szCs w:val="24"/>
          <w:lang w:val="en-GB"/>
        </w:rPr>
        <w:t>2</w:t>
      </w:r>
      <w:r w:rsidR="002632EC" w:rsidRPr="00196B80">
        <w:rPr>
          <w:color w:val="000000"/>
          <w:sz w:val="24"/>
          <w:szCs w:val="24"/>
          <w:lang w:val="uk-UA"/>
        </w:rPr>
        <w:t>1</w:t>
      </w:r>
      <w:r w:rsidR="002632EC">
        <w:rPr>
          <w:color w:val="000000"/>
          <w:sz w:val="24"/>
          <w:szCs w:val="24"/>
          <w:lang w:val="en-GB"/>
        </w:rPr>
        <w:t>)</w:t>
      </w:r>
      <w:r w:rsidR="00D842B7">
        <w:rPr>
          <w:color w:val="000000"/>
          <w:sz w:val="24"/>
          <w:szCs w:val="24"/>
          <w:lang w:val="en-GB"/>
        </w:rPr>
        <w:t>.</w:t>
      </w:r>
      <w:r w:rsidR="002632EC">
        <w:rPr>
          <w:color w:val="000000"/>
          <w:sz w:val="24"/>
          <w:szCs w:val="24"/>
          <w:lang w:val="en-GB"/>
        </w:rPr>
        <w:t xml:space="preserve"> </w:t>
      </w:r>
    </w:p>
    <w:sectPr w:rsidR="009F0991">
      <w:headerReference w:type="first" r:id="rId8"/>
      <w:footerReference w:type="first" r:id="rId9"/>
      <w:pgSz w:w="12240" w:h="15840"/>
      <w:pgMar w:top="1440" w:right="1080" w:bottom="1440" w:left="1080" w:header="454" w:footer="45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D6D75" w14:textId="77777777" w:rsidR="00014721" w:rsidRDefault="00014721">
      <w:r>
        <w:separator/>
      </w:r>
    </w:p>
  </w:endnote>
  <w:endnote w:type="continuationSeparator" w:id="0">
    <w:p w14:paraId="12CE4A74" w14:textId="77777777" w:rsidR="00014721" w:rsidRDefault="00014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90460F-148D-417E-95C1-CE6DCD6989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F1EEB33-34B8-4E54-9B62-55152B72451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F14A69-3D73-4150-964D-07ECB523A47F}"/>
    <w:embedItalic r:id="rId4" w:fontKey="{3D75EDD7-0372-4336-999D-31582F6B7E1C}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C639BB5-71C0-418B-BE5F-577023B078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EA8D9B-3A2E-4608-8E8A-65FEAF0EB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65C655E" w:rsidR="009F0991" w:rsidRDefault="0001472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2387B">
      <w:rPr>
        <w:noProof/>
        <w:color w:val="000000"/>
      </w:rPr>
      <w:t>1</w:t>
    </w:r>
    <w:r>
      <w:rPr>
        <w:color w:val="000000"/>
      </w:rPr>
      <w:fldChar w:fldCharType="end"/>
    </w:r>
  </w:p>
  <w:p w14:paraId="00000018" w14:textId="77777777" w:rsidR="009F0991" w:rsidRDefault="009F099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both"/>
      <w:rPr>
        <w:rFonts w:ascii="Palatino" w:eastAsia="Palatino" w:hAnsi="Palatino" w:cs="Palatino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7B0B7" w14:textId="77777777" w:rsidR="00014721" w:rsidRDefault="00014721">
      <w:r>
        <w:separator/>
      </w:r>
    </w:p>
  </w:footnote>
  <w:footnote w:type="continuationSeparator" w:id="0">
    <w:p w14:paraId="63A0278F" w14:textId="77777777" w:rsidR="00014721" w:rsidRDefault="000147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6" w14:textId="77777777" w:rsidR="009F0991" w:rsidRDefault="00014721">
    <w:pPr>
      <w:pBdr>
        <w:top w:val="nil"/>
        <w:left w:val="nil"/>
        <w:bottom w:val="single" w:sz="4" w:space="0" w:color="000000"/>
        <w:right w:val="nil"/>
        <w:between w:val="nil"/>
      </w:pBdr>
      <w:tabs>
        <w:tab w:val="center" w:pos="4320"/>
        <w:tab w:val="right" w:pos="8640"/>
        <w:tab w:val="right" w:pos="9498"/>
      </w:tabs>
      <w:jc w:val="both"/>
      <w:rPr>
        <w:rFonts w:ascii="Palatino" w:eastAsia="Palatino" w:hAnsi="Palatino" w:cs="Palatino"/>
        <w:color w:val="000000"/>
        <w:sz w:val="24"/>
        <w:szCs w:val="24"/>
      </w:rPr>
    </w:pPr>
    <w:r>
      <w:rPr>
        <w:b/>
        <w:bCs/>
        <w:color w:val="000000"/>
      </w:rPr>
      <w:t>International Conference on Nonlinear Science and Complexity</w:t>
    </w:r>
    <w:r>
      <w:rPr>
        <w:color w:val="000000"/>
      </w:rPr>
      <w:t xml:space="preserve"> (</w:t>
    </w:r>
    <w:r>
      <w:rPr>
        <w:b/>
        <w:bCs/>
        <w:color w:val="000000"/>
      </w:rPr>
      <w:t>NSC2026)                                July 14-17, 2026</w:t>
    </w:r>
    <w:r>
      <w:rPr>
        <w:color w:val="000000"/>
      </w:rPr>
      <w:t xml:space="preserve"> </w:t>
    </w:r>
    <w:r>
      <w:rPr>
        <w:color w:val="000000"/>
      </w:rPr>
      <w:tab/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F2F69"/>
    <w:multiLevelType w:val="multilevel"/>
    <w:tmpl w:val="FA4854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76963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991"/>
    <w:rsid w:val="000077D8"/>
    <w:rsid w:val="00014721"/>
    <w:rsid w:val="0005350F"/>
    <w:rsid w:val="000A634C"/>
    <w:rsid w:val="000B4153"/>
    <w:rsid w:val="001146BA"/>
    <w:rsid w:val="00133B64"/>
    <w:rsid w:val="00141480"/>
    <w:rsid w:val="00196B80"/>
    <w:rsid w:val="001B3FB1"/>
    <w:rsid w:val="001B506F"/>
    <w:rsid w:val="001B7E2D"/>
    <w:rsid w:val="00220091"/>
    <w:rsid w:val="0022387B"/>
    <w:rsid w:val="002632EC"/>
    <w:rsid w:val="002868CD"/>
    <w:rsid w:val="002B02A5"/>
    <w:rsid w:val="003B7C0A"/>
    <w:rsid w:val="003C3D18"/>
    <w:rsid w:val="004138FE"/>
    <w:rsid w:val="00445303"/>
    <w:rsid w:val="004F03F7"/>
    <w:rsid w:val="00532CEA"/>
    <w:rsid w:val="00533742"/>
    <w:rsid w:val="00556206"/>
    <w:rsid w:val="00592783"/>
    <w:rsid w:val="005C186F"/>
    <w:rsid w:val="006D606E"/>
    <w:rsid w:val="006E0FC7"/>
    <w:rsid w:val="006F429D"/>
    <w:rsid w:val="00717564"/>
    <w:rsid w:val="00725A9A"/>
    <w:rsid w:val="00725EFA"/>
    <w:rsid w:val="00740780"/>
    <w:rsid w:val="007E0465"/>
    <w:rsid w:val="008B669D"/>
    <w:rsid w:val="00901A30"/>
    <w:rsid w:val="0091580B"/>
    <w:rsid w:val="00933178"/>
    <w:rsid w:val="009415F7"/>
    <w:rsid w:val="009D2F08"/>
    <w:rsid w:val="009D6A29"/>
    <w:rsid w:val="009F0991"/>
    <w:rsid w:val="00A00488"/>
    <w:rsid w:val="00A2148E"/>
    <w:rsid w:val="00A35820"/>
    <w:rsid w:val="00A42185"/>
    <w:rsid w:val="00A91FB2"/>
    <w:rsid w:val="00AB6B10"/>
    <w:rsid w:val="00AE289A"/>
    <w:rsid w:val="00B37AA5"/>
    <w:rsid w:val="00B53AB8"/>
    <w:rsid w:val="00B95FB4"/>
    <w:rsid w:val="00CC1A85"/>
    <w:rsid w:val="00D0076F"/>
    <w:rsid w:val="00D1611B"/>
    <w:rsid w:val="00D842B7"/>
    <w:rsid w:val="00D97DDF"/>
    <w:rsid w:val="00E14F82"/>
    <w:rsid w:val="00E23825"/>
    <w:rsid w:val="00E357C1"/>
    <w:rsid w:val="00E46B96"/>
    <w:rsid w:val="00E53C56"/>
    <w:rsid w:val="00E728E3"/>
    <w:rsid w:val="00ED3AB9"/>
    <w:rsid w:val="00EF749E"/>
    <w:rsid w:val="00F844DF"/>
    <w:rsid w:val="00F8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65A48"/>
  <w15:docId w15:val="{D2069F44-497E-4055-A0F4-4B1CA6A67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901A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1A30"/>
  </w:style>
  <w:style w:type="paragraph" w:styleId="Footer">
    <w:name w:val="footer"/>
    <w:basedOn w:val="Normal"/>
    <w:link w:val="FooterChar"/>
    <w:uiPriority w:val="99"/>
    <w:semiHidden/>
    <w:unhideWhenUsed/>
    <w:rsid w:val="00901A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1A30"/>
  </w:style>
  <w:style w:type="character" w:styleId="PlaceholderText">
    <w:name w:val="Placeholder Text"/>
    <w:basedOn w:val="DefaultParagraphFont"/>
    <w:uiPriority w:val="99"/>
    <w:semiHidden/>
    <w:rsid w:val="00133B6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2618</Words>
  <Characters>1493</Characters>
  <Application>Microsoft Office Word</Application>
  <DocSecurity>0</DocSecurity>
  <Lines>12</Lines>
  <Paragraphs>8</Paragraphs>
  <ScaleCrop>false</ScaleCrop>
  <Company>SPecialiST RePack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Semenov</dc:creator>
  <cp:lastModifiedBy>Yuriy Semenov</cp:lastModifiedBy>
  <cp:revision>64</cp:revision>
  <dcterms:created xsi:type="dcterms:W3CDTF">2026-05-31T07:44:00Z</dcterms:created>
  <dcterms:modified xsi:type="dcterms:W3CDTF">2026-05-31T08:49:00Z</dcterms:modified>
</cp:coreProperties>
</file>